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4F2A" w14:textId="671B6C6F" w:rsidR="00367791" w:rsidRDefault="00367791">
      <w:pPr>
        <w:rPr>
          <w:rFonts w:ascii="Verdana" w:hAnsi="Verdana"/>
        </w:rPr>
      </w:pPr>
      <w:r>
        <w:rPr>
          <w:noProof/>
          <w:color w:val="1F497D"/>
          <w:lang w:eastAsia="en-GB"/>
        </w:rPr>
        <w:drawing>
          <wp:inline distT="0" distB="0" distL="0" distR="0" wp14:anchorId="2D0E6E42" wp14:editId="1DA8B3E5">
            <wp:extent cx="2762250" cy="1000125"/>
            <wp:effectExtent l="0" t="0" r="0" b="9525"/>
            <wp:docPr id="2" name="Picture 2" descr="West Sussex Safeguarding Adults Board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32531 WS Safeguarding Adults board-logo-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33">
        <w:rPr>
          <w:rFonts w:ascii="Verdana" w:hAnsi="Verdana"/>
        </w:rPr>
        <w:br w:type="textWrapping" w:clear="all"/>
      </w:r>
    </w:p>
    <w:p w14:paraId="4394A957" w14:textId="77777777" w:rsidR="00C706E4" w:rsidRPr="002B5E42" w:rsidRDefault="002E2A41" w:rsidP="002B5E42">
      <w:pPr>
        <w:pStyle w:val="Title"/>
      </w:pPr>
      <w:r w:rsidRPr="002B5E42">
        <w:t>West Sussex Safeguarding Adults Board</w:t>
      </w:r>
    </w:p>
    <w:p w14:paraId="39315974" w14:textId="77777777" w:rsidR="002E2A41" w:rsidRDefault="002E2A41" w:rsidP="002E2A41">
      <w:pPr>
        <w:spacing w:before="360" w:after="0" w:line="240" w:lineRule="auto"/>
        <w:rPr>
          <w:rFonts w:ascii="Verdana" w:hAnsi="Verdana"/>
          <w:b/>
          <w:color w:val="511263"/>
          <w:sz w:val="72"/>
        </w:rPr>
      </w:pPr>
    </w:p>
    <w:p w14:paraId="354191BB" w14:textId="6C84A6A3" w:rsidR="002E2A41" w:rsidRPr="00C13369" w:rsidRDefault="00D867B1" w:rsidP="002B5E42">
      <w:pPr>
        <w:pStyle w:val="Heading1"/>
      </w:pPr>
      <w:bookmarkStart w:id="0" w:name="_Toc40260442"/>
      <w:r>
        <w:t>Self-Neglect Briefing Note</w:t>
      </w:r>
      <w:r w:rsidR="001E2D48">
        <w:t xml:space="preserve">: </w:t>
      </w:r>
      <w:r w:rsidR="001E2D48" w:rsidRPr="00F2128D">
        <w:t>Sussex procedures to support adults who self-neglect</w:t>
      </w:r>
      <w:bookmarkEnd w:id="0"/>
      <w:r w:rsidR="001E2D48" w:rsidRPr="001E2D48">
        <w:rPr>
          <w:sz w:val="48"/>
        </w:rPr>
        <w:cr/>
      </w:r>
    </w:p>
    <w:p w14:paraId="2F807D90" w14:textId="77777777" w:rsidR="006B7139" w:rsidRDefault="006B7139" w:rsidP="002E2A41">
      <w:pPr>
        <w:spacing w:after="0" w:line="240" w:lineRule="auto"/>
        <w:rPr>
          <w:rFonts w:ascii="Verdana" w:hAnsi="Verdana"/>
          <w:b/>
          <w:color w:val="511263"/>
        </w:rPr>
      </w:pPr>
    </w:p>
    <w:p w14:paraId="6F5DD3DA" w14:textId="1B330425" w:rsidR="006B7139" w:rsidRPr="006B7139" w:rsidRDefault="006B7139" w:rsidP="001E2D48">
      <w:pPr>
        <w:spacing w:before="2400" w:after="0" w:line="240" w:lineRule="auto"/>
        <w:rPr>
          <w:rFonts w:ascii="Verdana" w:hAnsi="Verdana"/>
          <w:b/>
          <w:noProof/>
          <w:lang w:eastAsia="en-GB"/>
        </w:rPr>
      </w:pPr>
      <w:r w:rsidRPr="006B7139">
        <w:rPr>
          <w:rFonts w:ascii="Verdana" w:hAnsi="Verdana"/>
          <w:b/>
          <w:noProof/>
          <w:lang w:eastAsia="en-GB"/>
        </w:rPr>
        <w:t>Version:</w:t>
      </w:r>
      <w:r>
        <w:rPr>
          <w:rFonts w:ascii="Verdana" w:hAnsi="Verdana"/>
          <w:b/>
          <w:noProof/>
          <w:lang w:eastAsia="en-GB"/>
        </w:rPr>
        <w:t xml:space="preserve"> </w:t>
      </w:r>
      <w:r w:rsidR="00D867B1">
        <w:rPr>
          <w:rFonts w:ascii="Verdana" w:hAnsi="Verdana"/>
          <w:noProof/>
          <w:lang w:eastAsia="en-GB"/>
        </w:rPr>
        <w:t>2</w:t>
      </w:r>
    </w:p>
    <w:p w14:paraId="7D954A87" w14:textId="51D9A982" w:rsidR="006B7139" w:rsidRPr="00DF56F3" w:rsidRDefault="006B7139" w:rsidP="002E2A41">
      <w:pPr>
        <w:spacing w:after="0" w:line="240" w:lineRule="auto"/>
        <w:rPr>
          <w:rFonts w:ascii="Verdana" w:hAnsi="Verdana"/>
          <w:b/>
          <w:noProof/>
          <w:lang w:eastAsia="en-GB"/>
        </w:rPr>
      </w:pPr>
      <w:r w:rsidRPr="00DF56F3">
        <w:rPr>
          <w:rFonts w:ascii="Verdana" w:hAnsi="Verdana"/>
          <w:b/>
          <w:noProof/>
          <w:lang w:eastAsia="en-GB"/>
        </w:rPr>
        <w:t>Effective from:</w:t>
      </w:r>
      <w:r w:rsidRPr="00DF56F3">
        <w:rPr>
          <w:rFonts w:ascii="Verdana" w:hAnsi="Verdana"/>
        </w:rPr>
        <w:t xml:space="preserve"> </w:t>
      </w:r>
      <w:r w:rsidR="00D867B1" w:rsidRPr="00DF56F3">
        <w:rPr>
          <w:rFonts w:ascii="Verdana" w:hAnsi="Verdana"/>
        </w:rPr>
        <w:t>June 2020</w:t>
      </w:r>
    </w:p>
    <w:p w14:paraId="6359124E" w14:textId="003CE2A5" w:rsidR="009A30B3" w:rsidRDefault="006B7139" w:rsidP="002E2A41">
      <w:pPr>
        <w:spacing w:after="0" w:line="240" w:lineRule="auto"/>
        <w:rPr>
          <w:rFonts w:ascii="Verdana" w:hAnsi="Verdana"/>
          <w:noProof/>
          <w:lang w:eastAsia="en-GB"/>
        </w:rPr>
      </w:pPr>
      <w:r w:rsidRPr="006B7139">
        <w:rPr>
          <w:rFonts w:ascii="Verdana" w:hAnsi="Verdana"/>
          <w:b/>
          <w:noProof/>
          <w:lang w:eastAsia="en-GB"/>
        </w:rPr>
        <w:t>Review date:</w:t>
      </w:r>
      <w:r w:rsidRPr="006B7139">
        <w:t xml:space="preserve"> </w:t>
      </w:r>
      <w:r w:rsidR="00D867B1">
        <w:rPr>
          <w:rFonts w:ascii="Verdana" w:hAnsi="Verdana"/>
          <w:noProof/>
          <w:lang w:eastAsia="en-GB"/>
        </w:rPr>
        <w:t>June 2021</w:t>
      </w:r>
    </w:p>
    <w:p w14:paraId="7597FE15" w14:textId="7735B47B" w:rsidR="00916100" w:rsidRDefault="00916100" w:rsidP="00916100">
      <w:pPr>
        <w:pStyle w:val="Heading2"/>
        <w:numPr>
          <w:ilvl w:val="0"/>
          <w:numId w:val="0"/>
        </w:numPr>
        <w:ind w:left="709" w:hanging="709"/>
      </w:pPr>
      <w:bookmarkStart w:id="1" w:name="_Toc40260443"/>
      <w:r>
        <w:lastRenderedPageBreak/>
        <w:t>Document history</w:t>
      </w:r>
      <w:bookmarkEnd w:id="1"/>
    </w:p>
    <w:p w14:paraId="315535D0" w14:textId="7A8D87B6" w:rsidR="00916100" w:rsidRDefault="00916100" w:rsidP="00ED3E2D">
      <w:pPr>
        <w:pStyle w:val="TOCHeading"/>
        <w:spacing w:before="0" w:line="240" w:lineRule="auto"/>
        <w:rPr>
          <w:rFonts w:ascii="Verdana" w:eastAsia="Calibri" w:hAnsi="Verdana" w:cs="Times New Roman"/>
          <w:b w:val="0"/>
          <w:bCs w:val="0"/>
          <w:color w:val="511263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ocument history"/>
        <w:tblDescription w:val="Version history of the document."/>
      </w:tblPr>
      <w:tblGrid>
        <w:gridCol w:w="1673"/>
        <w:gridCol w:w="1543"/>
        <w:gridCol w:w="2505"/>
        <w:gridCol w:w="4083"/>
      </w:tblGrid>
      <w:tr w:rsidR="005525FD" w14:paraId="27558A76" w14:textId="77777777" w:rsidTr="00F351B4">
        <w:trPr>
          <w:tblHeader/>
        </w:trPr>
        <w:tc>
          <w:tcPr>
            <w:tcW w:w="1701" w:type="dxa"/>
            <w:shd w:val="clear" w:color="auto" w:fill="CCC0D9" w:themeFill="accent4" w:themeFillTint="66"/>
          </w:tcPr>
          <w:p w14:paraId="67FBAC7C" w14:textId="3B7EBA10" w:rsidR="005525FD" w:rsidRPr="005525FD" w:rsidRDefault="005525FD" w:rsidP="005525F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525FD">
              <w:rPr>
                <w:rFonts w:ascii="Verdana" w:hAnsi="Verdana"/>
                <w:b/>
              </w:rPr>
              <w:t>Version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3D14F0F5" w14:textId="07B4C0B9" w:rsidR="005525FD" w:rsidRPr="005525FD" w:rsidRDefault="005525FD" w:rsidP="005525F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525FD">
              <w:rPr>
                <w:rFonts w:ascii="Verdana" w:hAnsi="Verdana"/>
                <w:b/>
              </w:rPr>
              <w:t>Date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676CADA9" w14:textId="3C522291" w:rsidR="005525FD" w:rsidRPr="005525FD" w:rsidRDefault="005525FD" w:rsidP="005525F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525FD">
              <w:rPr>
                <w:rFonts w:ascii="Verdana" w:hAnsi="Verdana"/>
                <w:b/>
              </w:rPr>
              <w:t>Author(s)</w:t>
            </w:r>
          </w:p>
        </w:tc>
        <w:tc>
          <w:tcPr>
            <w:tcW w:w="4218" w:type="dxa"/>
            <w:shd w:val="clear" w:color="auto" w:fill="CCC0D9" w:themeFill="accent4" w:themeFillTint="66"/>
          </w:tcPr>
          <w:p w14:paraId="4F4F113F" w14:textId="3604F8B5" w:rsidR="005525FD" w:rsidRPr="005525FD" w:rsidRDefault="005525FD" w:rsidP="005525F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525FD">
              <w:rPr>
                <w:rFonts w:ascii="Verdana" w:hAnsi="Verdana"/>
                <w:b/>
              </w:rPr>
              <w:t>Details</w:t>
            </w:r>
          </w:p>
        </w:tc>
      </w:tr>
      <w:tr w:rsidR="005525FD" w14:paraId="59B1BAE2" w14:textId="77777777" w:rsidTr="00F351B4">
        <w:trPr>
          <w:trHeight w:val="130"/>
        </w:trPr>
        <w:tc>
          <w:tcPr>
            <w:tcW w:w="1701" w:type="dxa"/>
          </w:tcPr>
          <w:p w14:paraId="17AD8BEA" w14:textId="59CF4F54" w:rsidR="005525FD" w:rsidRPr="004C2CAA" w:rsidRDefault="000F6BA5" w:rsidP="000F6BA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60" w:type="dxa"/>
          </w:tcPr>
          <w:p w14:paraId="77DD4893" w14:textId="490EC5B8" w:rsidR="005525FD" w:rsidRPr="004C2CAA" w:rsidRDefault="000F6BA5" w:rsidP="000F6BA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Unknown</w:t>
            </w:r>
          </w:p>
        </w:tc>
        <w:tc>
          <w:tcPr>
            <w:tcW w:w="2551" w:type="dxa"/>
          </w:tcPr>
          <w:p w14:paraId="7F3634EC" w14:textId="026924AD" w:rsidR="005525FD" w:rsidRPr="004C2CAA" w:rsidRDefault="000F6BA5" w:rsidP="004C2CA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 Sussex Safeguarding Adults Board</w:t>
            </w:r>
          </w:p>
        </w:tc>
        <w:tc>
          <w:tcPr>
            <w:tcW w:w="4218" w:type="dxa"/>
          </w:tcPr>
          <w:p w14:paraId="5D9935CC" w14:textId="016E7C9E" w:rsidR="005525FD" w:rsidRPr="004C2CAA" w:rsidRDefault="000F6BA5" w:rsidP="004C2CA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Initial release.</w:t>
            </w:r>
          </w:p>
        </w:tc>
      </w:tr>
      <w:tr w:rsidR="00602B38" w14:paraId="6D382E80" w14:textId="77777777" w:rsidTr="00F351B4">
        <w:trPr>
          <w:trHeight w:val="130"/>
        </w:trPr>
        <w:tc>
          <w:tcPr>
            <w:tcW w:w="1701" w:type="dxa"/>
          </w:tcPr>
          <w:p w14:paraId="1BFD7F2B" w14:textId="6050DD07" w:rsidR="00602B38" w:rsidRDefault="00602B38" w:rsidP="000F6BA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60" w:type="dxa"/>
          </w:tcPr>
          <w:p w14:paraId="67044313" w14:textId="17ABFB27" w:rsidR="00602B38" w:rsidRDefault="00602B38" w:rsidP="000F6BA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2020</w:t>
            </w:r>
          </w:p>
        </w:tc>
        <w:tc>
          <w:tcPr>
            <w:tcW w:w="2551" w:type="dxa"/>
          </w:tcPr>
          <w:p w14:paraId="298E216C" w14:textId="2E48C591" w:rsidR="00602B38" w:rsidRDefault="00602B38" w:rsidP="004C2CA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 Sussex Safeguarding Adults Board</w:t>
            </w:r>
          </w:p>
        </w:tc>
        <w:tc>
          <w:tcPr>
            <w:tcW w:w="4218" w:type="dxa"/>
          </w:tcPr>
          <w:p w14:paraId="4CA4E6D4" w14:textId="79F8BA05" w:rsidR="00602B38" w:rsidRDefault="00602B38" w:rsidP="004C2CA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Re-release with amendments made for the purposes of creating a more accessible document.</w:t>
            </w:r>
          </w:p>
        </w:tc>
      </w:tr>
    </w:tbl>
    <w:p w14:paraId="5D552ED1" w14:textId="77777777" w:rsidR="00F035E5" w:rsidRPr="00F035E5" w:rsidRDefault="00F035E5" w:rsidP="00E8672A">
      <w:pPr>
        <w:spacing w:after="0"/>
      </w:pPr>
    </w:p>
    <w:p w14:paraId="4ADF7B64" w14:textId="77777777" w:rsidR="00916100" w:rsidRPr="00916100" w:rsidRDefault="00916100" w:rsidP="00916100">
      <w:pPr>
        <w:spacing w:after="0" w:line="240" w:lineRule="auto"/>
      </w:pPr>
    </w:p>
    <w:p w14:paraId="64A34B23" w14:textId="01AE4DCF" w:rsidR="006B7139" w:rsidRPr="00C13369" w:rsidRDefault="001F3931" w:rsidP="0002612A">
      <w:pPr>
        <w:pStyle w:val="Heading2"/>
      </w:pPr>
      <w:bookmarkStart w:id="2" w:name="_Toc40260444"/>
      <w:r>
        <w:t>Introduction</w:t>
      </w:r>
      <w:bookmarkEnd w:id="2"/>
    </w:p>
    <w:p w14:paraId="67866557" w14:textId="77777777" w:rsidR="0002612A" w:rsidRPr="001F3931" w:rsidRDefault="0002612A" w:rsidP="001F3931">
      <w:pPr>
        <w:spacing w:after="0" w:line="240" w:lineRule="auto"/>
        <w:rPr>
          <w:rFonts w:ascii="Verdana" w:hAnsi="Verdana"/>
        </w:rPr>
      </w:pPr>
    </w:p>
    <w:p w14:paraId="592F9E36" w14:textId="025D1997" w:rsidR="001F3931" w:rsidRDefault="001F3931" w:rsidP="001F3931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Verdana" w:hAnsi="Verdana"/>
        </w:rPr>
      </w:pPr>
      <w:r w:rsidRPr="001F3931">
        <w:rPr>
          <w:rFonts w:ascii="Verdana" w:hAnsi="Verdana"/>
        </w:rPr>
        <w:t xml:space="preserve">The self-neglect procedures within the </w:t>
      </w:r>
      <w:hyperlink r:id="rId15" w:history="1">
        <w:r w:rsidRPr="00137E05">
          <w:rPr>
            <w:rStyle w:val="Hyperlink"/>
            <w:rFonts w:ascii="Verdana" w:hAnsi="Verdana"/>
          </w:rPr>
          <w:t>Sussex Safeguarding Adults Policy and Procedures</w:t>
        </w:r>
      </w:hyperlink>
      <w:r w:rsidRPr="001F3931">
        <w:rPr>
          <w:rFonts w:ascii="Verdana" w:hAnsi="Verdana"/>
        </w:rPr>
        <w:t xml:space="preserve"> have recently been updated </w:t>
      </w:r>
      <w:r>
        <w:rPr>
          <w:rFonts w:ascii="Verdana" w:hAnsi="Verdana"/>
        </w:rPr>
        <w:t>to take</w:t>
      </w:r>
      <w:r w:rsidRPr="001F3931">
        <w:rPr>
          <w:rFonts w:ascii="Verdana" w:hAnsi="Verdana"/>
        </w:rPr>
        <w:t xml:space="preserve"> account of learning from Safeguarding Adults Reviews</w:t>
      </w:r>
      <w:r>
        <w:rPr>
          <w:rFonts w:ascii="Verdana" w:hAnsi="Verdana"/>
        </w:rPr>
        <w:t xml:space="preserve"> (SARs)</w:t>
      </w:r>
      <w:r w:rsidRPr="001F3931">
        <w:rPr>
          <w:rFonts w:ascii="Verdana" w:hAnsi="Verdana"/>
        </w:rPr>
        <w:t xml:space="preserve"> involving self-neglect. This briefing sets out the key sections of the new </w:t>
      </w:r>
      <w:hyperlink r:id="rId16" w:history="1">
        <w:r w:rsidRPr="00137E05">
          <w:rPr>
            <w:rStyle w:val="Hyperlink"/>
            <w:rFonts w:ascii="Verdana" w:hAnsi="Verdana"/>
          </w:rPr>
          <w:t>Sussex Self-Neglect Procedures</w:t>
        </w:r>
      </w:hyperlink>
      <w:r w:rsidRPr="001F3931">
        <w:rPr>
          <w:rFonts w:ascii="Verdana" w:hAnsi="Verdana"/>
        </w:rPr>
        <w:t xml:space="preserve">. </w:t>
      </w:r>
    </w:p>
    <w:p w14:paraId="211B0C0D" w14:textId="77777777" w:rsidR="001F3931" w:rsidRDefault="001F3931" w:rsidP="001F3931">
      <w:pPr>
        <w:pStyle w:val="ListParagraph"/>
        <w:spacing w:after="0" w:line="240" w:lineRule="auto"/>
        <w:ind w:left="709"/>
        <w:rPr>
          <w:rFonts w:ascii="Verdana" w:hAnsi="Verdana"/>
        </w:rPr>
      </w:pPr>
    </w:p>
    <w:p w14:paraId="29EA9C77" w14:textId="12D56F49" w:rsidR="0002612A" w:rsidRDefault="001F3931" w:rsidP="001F3931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Verdana" w:hAnsi="Verdana"/>
        </w:rPr>
      </w:pPr>
      <w:r w:rsidRPr="001F3931">
        <w:rPr>
          <w:rFonts w:ascii="Verdana" w:hAnsi="Verdana"/>
        </w:rPr>
        <w:t>The procedures provide a clear pathway to assist professionals from any organisation to work using a multi-agency approach when working with adults who are displaying self-neglecting behaviours. Safeguarding leads are encouraged to share this briefing with teams to encourage staff to use the new self-neglect procedures.</w:t>
      </w:r>
    </w:p>
    <w:p w14:paraId="4D58BB6D" w14:textId="77777777" w:rsidR="00A46F8D" w:rsidRPr="00A46F8D" w:rsidRDefault="00A46F8D" w:rsidP="00A46F8D">
      <w:pPr>
        <w:pStyle w:val="ListParagraph"/>
        <w:rPr>
          <w:rFonts w:ascii="Verdana" w:hAnsi="Verdana"/>
        </w:rPr>
      </w:pPr>
    </w:p>
    <w:p w14:paraId="4D478F7E" w14:textId="6B87B439" w:rsidR="00A46F8D" w:rsidRDefault="00A46F8D" w:rsidP="00A46F8D">
      <w:pPr>
        <w:pStyle w:val="Heading2"/>
      </w:pPr>
      <w:bookmarkStart w:id="3" w:name="_Toc40260445"/>
      <w:r>
        <w:t>Summary of Self-Neglect Procedures sections</w:t>
      </w:r>
      <w:bookmarkEnd w:id="3"/>
    </w:p>
    <w:p w14:paraId="5B784499" w14:textId="77777777" w:rsidR="00A46F8D" w:rsidRPr="00A46F8D" w:rsidRDefault="00A46F8D" w:rsidP="00A46F8D">
      <w:pPr>
        <w:pStyle w:val="ListParagraph"/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Summary of Self-Neglect Procedures sections"/>
        <w:tblDescription w:val="This table summarises the content within each section of the Sussex Self-Neglect Procedures."/>
      </w:tblPr>
      <w:tblGrid>
        <w:gridCol w:w="3742"/>
        <w:gridCol w:w="5353"/>
      </w:tblGrid>
      <w:tr w:rsidR="00A46F8D" w14:paraId="6EB39519" w14:textId="77777777" w:rsidTr="00715F84">
        <w:trPr>
          <w:cantSplit/>
          <w:tblHeader/>
        </w:trPr>
        <w:tc>
          <w:tcPr>
            <w:tcW w:w="3827" w:type="dxa"/>
            <w:shd w:val="clear" w:color="auto" w:fill="CCC0D9" w:themeFill="accent4" w:themeFillTint="66"/>
          </w:tcPr>
          <w:p w14:paraId="43AB2438" w14:textId="5019ECF6" w:rsidR="00A46F8D" w:rsidRPr="00A46F8D" w:rsidRDefault="00A46F8D" w:rsidP="00A46F8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6F8D">
              <w:rPr>
                <w:rFonts w:ascii="Verdana" w:hAnsi="Verdana"/>
                <w:b/>
              </w:rPr>
              <w:t>Section title</w:t>
            </w:r>
          </w:p>
        </w:tc>
        <w:tc>
          <w:tcPr>
            <w:tcW w:w="5494" w:type="dxa"/>
            <w:shd w:val="clear" w:color="auto" w:fill="CCC0D9" w:themeFill="accent4" w:themeFillTint="66"/>
          </w:tcPr>
          <w:p w14:paraId="179949DE" w14:textId="0DA475C2" w:rsidR="00A46F8D" w:rsidRPr="00A46F8D" w:rsidRDefault="00A46F8D" w:rsidP="00A46F8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6F8D">
              <w:rPr>
                <w:rFonts w:ascii="Verdana" w:hAnsi="Verdana"/>
                <w:b/>
              </w:rPr>
              <w:t>Summary</w:t>
            </w:r>
          </w:p>
        </w:tc>
      </w:tr>
      <w:tr w:rsidR="00A46F8D" w14:paraId="7A33EE2F" w14:textId="77777777" w:rsidTr="00715F84">
        <w:trPr>
          <w:cantSplit/>
        </w:trPr>
        <w:tc>
          <w:tcPr>
            <w:tcW w:w="3827" w:type="dxa"/>
          </w:tcPr>
          <w:p w14:paraId="7A6BDCE9" w14:textId="621EF5DF" w:rsidR="00A46F8D" w:rsidRDefault="00A46F8D" w:rsidP="00A46F8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Overview of the self-neglect process</w:t>
            </w:r>
          </w:p>
        </w:tc>
        <w:tc>
          <w:tcPr>
            <w:tcW w:w="5494" w:type="dxa"/>
          </w:tcPr>
          <w:p w14:paraId="1706C804" w14:textId="6B57DA6A" w:rsidR="00A46F8D" w:rsidRDefault="00A46F8D" w:rsidP="007775E4">
            <w:pPr>
              <w:spacing w:after="0" w:line="240" w:lineRule="auto"/>
              <w:rPr>
                <w:rFonts w:ascii="Verdana" w:hAnsi="Verdana"/>
              </w:rPr>
            </w:pPr>
            <w:r w:rsidRPr="00A46F8D">
              <w:rPr>
                <w:rFonts w:ascii="Verdana" w:hAnsi="Verdana"/>
              </w:rPr>
              <w:t>An overview of the self-neglect process, identifying the lead</w:t>
            </w:r>
            <w:r>
              <w:rPr>
                <w:rFonts w:ascii="Verdana" w:hAnsi="Verdana"/>
              </w:rPr>
              <w:t xml:space="preserve"> </w:t>
            </w:r>
            <w:r w:rsidRPr="00A46F8D">
              <w:rPr>
                <w:rFonts w:ascii="Verdana" w:hAnsi="Verdana"/>
              </w:rPr>
              <w:t xml:space="preserve">agency and </w:t>
            </w:r>
            <w:r w:rsidR="007775E4">
              <w:rPr>
                <w:rFonts w:ascii="Verdana" w:hAnsi="Verdana"/>
              </w:rPr>
              <w:t xml:space="preserve">co-ordination of the process. An overview </w:t>
            </w:r>
            <w:r w:rsidRPr="00A46F8D">
              <w:rPr>
                <w:rFonts w:ascii="Verdana" w:hAnsi="Verdana"/>
              </w:rPr>
              <w:t>of the</w:t>
            </w:r>
            <w:r>
              <w:rPr>
                <w:rFonts w:ascii="Verdana" w:hAnsi="Verdana"/>
              </w:rPr>
              <w:t xml:space="preserve"> </w:t>
            </w:r>
            <w:r w:rsidRPr="00A46F8D">
              <w:rPr>
                <w:rFonts w:ascii="Verdana" w:hAnsi="Verdana"/>
              </w:rPr>
              <w:t xml:space="preserve">process is </w:t>
            </w:r>
            <w:r>
              <w:rPr>
                <w:rFonts w:ascii="Verdana" w:hAnsi="Verdana"/>
              </w:rPr>
              <w:t xml:space="preserve">included in </w:t>
            </w:r>
            <w:r w:rsidR="007775E4">
              <w:rPr>
                <w:rFonts w:ascii="Verdana" w:hAnsi="Verdana"/>
              </w:rPr>
              <w:t xml:space="preserve">section 3 of </w:t>
            </w:r>
            <w:r>
              <w:rPr>
                <w:rFonts w:ascii="Verdana" w:hAnsi="Verdana"/>
              </w:rPr>
              <w:t>this briefing note.</w:t>
            </w:r>
          </w:p>
        </w:tc>
      </w:tr>
      <w:tr w:rsidR="00A46F8D" w14:paraId="2FE0C200" w14:textId="77777777" w:rsidTr="00715F84">
        <w:trPr>
          <w:cantSplit/>
        </w:trPr>
        <w:tc>
          <w:tcPr>
            <w:tcW w:w="3827" w:type="dxa"/>
          </w:tcPr>
          <w:p w14:paraId="35456BC6" w14:textId="2457B185" w:rsidR="00A46F8D" w:rsidRDefault="00A46F8D" w:rsidP="00A46F8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Self-neglect and the Care Act 2014</w:t>
            </w:r>
          </w:p>
        </w:tc>
        <w:tc>
          <w:tcPr>
            <w:tcW w:w="5494" w:type="dxa"/>
          </w:tcPr>
          <w:p w14:paraId="01CB309F" w14:textId="26B86888" w:rsidR="00A46F8D" w:rsidRPr="00A46F8D" w:rsidRDefault="00A46F8D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A46F8D">
              <w:rPr>
                <w:rFonts w:ascii="Verdana" w:hAnsi="Verdana"/>
              </w:rPr>
              <w:t>Importance of early intervention and prevention</w:t>
            </w:r>
          </w:p>
          <w:p w14:paraId="6B14E255" w14:textId="3A870C16" w:rsidR="00A46F8D" w:rsidRPr="00A46F8D" w:rsidRDefault="00A46F8D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A46F8D">
              <w:rPr>
                <w:rFonts w:ascii="Verdana" w:hAnsi="Verdana"/>
              </w:rPr>
              <w:t>When is a Section 42 enquiry required? Three key tests</w:t>
            </w:r>
          </w:p>
          <w:p w14:paraId="67DEF02B" w14:textId="00092148" w:rsidR="00A46F8D" w:rsidRDefault="00A46F8D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A46F8D">
              <w:rPr>
                <w:rFonts w:ascii="Verdana" w:hAnsi="Verdana"/>
              </w:rPr>
              <w:t>Non-statutory safeguarding enquiries</w:t>
            </w:r>
          </w:p>
          <w:p w14:paraId="43445795" w14:textId="1A449498" w:rsidR="00A46F8D" w:rsidRPr="00A46F8D" w:rsidRDefault="00A46F8D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A46F8D">
              <w:rPr>
                <w:rFonts w:ascii="Verdana" w:hAnsi="Verdana"/>
              </w:rPr>
              <w:t>Professional judgement and risk factors to be considered</w:t>
            </w:r>
          </w:p>
        </w:tc>
      </w:tr>
      <w:tr w:rsidR="00A46F8D" w14:paraId="7441C595" w14:textId="77777777" w:rsidTr="00715F84">
        <w:trPr>
          <w:cantSplit/>
        </w:trPr>
        <w:tc>
          <w:tcPr>
            <w:tcW w:w="3827" w:type="dxa"/>
          </w:tcPr>
          <w:p w14:paraId="5C7F4FCB" w14:textId="2ACDB406" w:rsidR="00A46F8D" w:rsidRDefault="00A46F8D" w:rsidP="00A46F8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Self-neglect; signs and causes</w:t>
            </w:r>
          </w:p>
        </w:tc>
        <w:tc>
          <w:tcPr>
            <w:tcW w:w="5494" w:type="dxa"/>
          </w:tcPr>
          <w:p w14:paraId="39B38A7D" w14:textId="77953D08" w:rsidR="00A46F8D" w:rsidRDefault="00A46F8D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Indicators </w:t>
            </w:r>
            <w:r w:rsidR="008224B3">
              <w:rPr>
                <w:rFonts w:ascii="Verdana" w:hAnsi="Verdana"/>
              </w:rPr>
              <w:t>of self-neglect</w:t>
            </w:r>
          </w:p>
          <w:p w14:paraId="739E656A" w14:textId="0AB66A4E" w:rsidR="00A46F8D" w:rsidRDefault="008224B3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Reasons for self-neglect</w:t>
            </w:r>
          </w:p>
          <w:p w14:paraId="5009AB55" w14:textId="380EAE15" w:rsidR="00A46F8D" w:rsidRDefault="008224B3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Self-neglect and hoarding</w:t>
            </w:r>
          </w:p>
          <w:p w14:paraId="1B24F7C3" w14:textId="338AC0C1" w:rsidR="00A46F8D" w:rsidRPr="00A46F8D" w:rsidRDefault="008224B3" w:rsidP="00A46F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safety visits</w:t>
            </w:r>
          </w:p>
        </w:tc>
      </w:tr>
      <w:tr w:rsidR="00A46F8D" w14:paraId="4E5E5A19" w14:textId="77777777" w:rsidTr="00715F84">
        <w:trPr>
          <w:cantSplit/>
        </w:trPr>
        <w:tc>
          <w:tcPr>
            <w:tcW w:w="3827" w:type="dxa"/>
          </w:tcPr>
          <w:p w14:paraId="1A45EBDA" w14:textId="3F98389F" w:rsidR="00A46F8D" w:rsidRDefault="00A32577" w:rsidP="00A46F8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with adults who self-neglect</w:t>
            </w:r>
          </w:p>
        </w:tc>
        <w:tc>
          <w:tcPr>
            <w:tcW w:w="5494" w:type="dxa"/>
          </w:tcPr>
          <w:p w14:paraId="0775D44E" w14:textId="32E569DE" w:rsidR="00A46F8D" w:rsidRDefault="00A32577" w:rsidP="00A32577">
            <w:pPr>
              <w:spacing w:after="0" w:line="240" w:lineRule="auto"/>
              <w:rPr>
                <w:rFonts w:ascii="Verdana" w:hAnsi="Verdana"/>
              </w:rPr>
            </w:pPr>
            <w:r w:rsidRPr="00A32577">
              <w:rPr>
                <w:rFonts w:ascii="Verdana" w:hAnsi="Verdana"/>
              </w:rPr>
              <w:t>Key principles of engagement and guidance on the challenges of</w:t>
            </w:r>
            <w:r>
              <w:rPr>
                <w:rFonts w:ascii="Verdana" w:hAnsi="Verdana"/>
              </w:rPr>
              <w:t xml:space="preserve"> </w:t>
            </w:r>
            <w:r w:rsidRPr="00A32577">
              <w:rPr>
                <w:rFonts w:ascii="Verdana" w:hAnsi="Verdana"/>
              </w:rPr>
              <w:t>non-engagement</w:t>
            </w:r>
            <w:r>
              <w:rPr>
                <w:rFonts w:ascii="Verdana" w:hAnsi="Verdana"/>
              </w:rPr>
              <w:t>;</w:t>
            </w:r>
            <w:r w:rsidRPr="00A32577">
              <w:rPr>
                <w:rFonts w:ascii="Verdana" w:hAnsi="Verdana"/>
              </w:rPr>
              <w:t xml:space="preserve"> advice on effective interventions in multi</w:t>
            </w:r>
            <w:r>
              <w:rPr>
                <w:rFonts w:ascii="Verdana" w:hAnsi="Verdana"/>
              </w:rPr>
              <w:t>-</w:t>
            </w:r>
            <w:r w:rsidRPr="00A32577">
              <w:rPr>
                <w:rFonts w:ascii="Verdana" w:hAnsi="Verdana"/>
              </w:rPr>
              <w:t>agency settings.</w:t>
            </w:r>
          </w:p>
        </w:tc>
      </w:tr>
      <w:tr w:rsidR="00A46F8D" w14:paraId="14026D8F" w14:textId="77777777" w:rsidTr="00715F84">
        <w:trPr>
          <w:cantSplit/>
        </w:trPr>
        <w:tc>
          <w:tcPr>
            <w:tcW w:w="3827" w:type="dxa"/>
          </w:tcPr>
          <w:p w14:paraId="14B35FE7" w14:textId="5A1A7110" w:rsidR="00A46F8D" w:rsidRDefault="00A32577" w:rsidP="00A32577">
            <w:pPr>
              <w:spacing w:after="0" w:line="240" w:lineRule="auto"/>
              <w:rPr>
                <w:rFonts w:ascii="Verdana" w:hAnsi="Verdana"/>
              </w:rPr>
            </w:pPr>
            <w:r w:rsidRPr="00A32577">
              <w:rPr>
                <w:rFonts w:ascii="Verdana" w:hAnsi="Verdana"/>
              </w:rPr>
              <w:lastRenderedPageBreak/>
              <w:t>Self-neglect and</w:t>
            </w:r>
            <w:r>
              <w:rPr>
                <w:rFonts w:ascii="Verdana" w:hAnsi="Verdana"/>
              </w:rPr>
              <w:t xml:space="preserve"> </w:t>
            </w:r>
            <w:r w:rsidRPr="00A32577">
              <w:rPr>
                <w:rFonts w:ascii="Verdana" w:hAnsi="Verdana"/>
              </w:rPr>
              <w:t>mental capacity</w:t>
            </w:r>
          </w:p>
        </w:tc>
        <w:tc>
          <w:tcPr>
            <w:tcW w:w="5494" w:type="dxa"/>
          </w:tcPr>
          <w:p w14:paraId="5E66FE8E" w14:textId="3D074918" w:rsidR="008224B3" w:rsidRPr="008224B3" w:rsidRDefault="008224B3" w:rsidP="00822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8224B3">
              <w:rPr>
                <w:rFonts w:ascii="Verdana" w:hAnsi="Verdana"/>
              </w:rPr>
              <w:t>Assessing mental capacity</w:t>
            </w:r>
          </w:p>
          <w:p w14:paraId="304074EA" w14:textId="39EE3FBB" w:rsidR="008224B3" w:rsidRPr="008224B3" w:rsidRDefault="008224B3" w:rsidP="00822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8224B3">
              <w:rPr>
                <w:rFonts w:ascii="Verdana" w:hAnsi="Verdana"/>
              </w:rPr>
              <w:t>Fluctuating capacity</w:t>
            </w:r>
          </w:p>
          <w:p w14:paraId="4B839845" w14:textId="77777777" w:rsidR="008224B3" w:rsidRDefault="008224B3" w:rsidP="00822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8224B3">
              <w:rPr>
                <w:rFonts w:ascii="Verdana" w:hAnsi="Verdana"/>
              </w:rPr>
              <w:t>Unwise decisions</w:t>
            </w:r>
          </w:p>
          <w:p w14:paraId="585DCDB1" w14:textId="6A0A6569" w:rsidR="008224B3" w:rsidRDefault="008224B3" w:rsidP="00822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8224B3">
              <w:rPr>
                <w:rFonts w:ascii="Verdana" w:hAnsi="Verdana"/>
              </w:rPr>
              <w:t>Decisional and executive</w:t>
            </w:r>
            <w:r>
              <w:rPr>
                <w:rFonts w:ascii="Verdana" w:hAnsi="Verdana"/>
              </w:rPr>
              <w:t xml:space="preserve"> c</w:t>
            </w:r>
            <w:r w:rsidRPr="008224B3">
              <w:rPr>
                <w:rFonts w:ascii="Verdana" w:hAnsi="Verdana"/>
              </w:rPr>
              <w:t>apacity</w:t>
            </w:r>
          </w:p>
          <w:p w14:paraId="7675BC3E" w14:textId="6E359DC1" w:rsidR="008224B3" w:rsidRPr="008224B3" w:rsidRDefault="008224B3" w:rsidP="00822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8224B3">
              <w:rPr>
                <w:rFonts w:ascii="Verdana" w:hAnsi="Verdana"/>
              </w:rPr>
              <w:t>Inherent jurisdiction</w:t>
            </w:r>
          </w:p>
          <w:p w14:paraId="4072ED32" w14:textId="7FA202B2" w:rsidR="00A46F8D" w:rsidRDefault="008224B3" w:rsidP="00822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8224B3">
              <w:rPr>
                <w:rFonts w:ascii="Verdana" w:hAnsi="Verdana"/>
              </w:rPr>
              <w:t>Best interests decision</w:t>
            </w:r>
            <w:r>
              <w:rPr>
                <w:rFonts w:ascii="Verdana" w:hAnsi="Verdana"/>
              </w:rPr>
              <w:t>-</w:t>
            </w:r>
            <w:r w:rsidRPr="008224B3">
              <w:rPr>
                <w:rFonts w:ascii="Verdana" w:hAnsi="Verdana"/>
              </w:rPr>
              <w:t>making and the Court of</w:t>
            </w:r>
            <w:r>
              <w:rPr>
                <w:rFonts w:ascii="Verdana" w:hAnsi="Verdana"/>
              </w:rPr>
              <w:t xml:space="preserve"> </w:t>
            </w:r>
            <w:r w:rsidRPr="008224B3">
              <w:rPr>
                <w:rFonts w:ascii="Verdana" w:hAnsi="Verdana"/>
              </w:rPr>
              <w:t>Protection</w:t>
            </w:r>
          </w:p>
        </w:tc>
      </w:tr>
      <w:tr w:rsidR="00A46F8D" w14:paraId="3A9ECF4B" w14:textId="77777777" w:rsidTr="00715F84">
        <w:trPr>
          <w:cantSplit/>
        </w:trPr>
        <w:tc>
          <w:tcPr>
            <w:tcW w:w="3827" w:type="dxa"/>
          </w:tcPr>
          <w:p w14:paraId="3C31CAFC" w14:textId="0920D332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Collaborative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multi-agency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working</w:t>
            </w:r>
          </w:p>
        </w:tc>
        <w:tc>
          <w:tcPr>
            <w:tcW w:w="5494" w:type="dxa"/>
          </w:tcPr>
          <w:p w14:paraId="5DD208DC" w14:textId="77777777" w:rsidR="009A5D1F" w:rsidRPr="009A5D1F" w:rsidRDefault="009A5D1F" w:rsidP="009A5D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Multi-agency meetings</w:t>
            </w:r>
          </w:p>
          <w:p w14:paraId="5DAAC659" w14:textId="3A8B4748" w:rsidR="009A5D1F" w:rsidRPr="009A5D1F" w:rsidRDefault="009A5D1F" w:rsidP="009A5D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Timescales</w:t>
            </w:r>
          </w:p>
          <w:p w14:paraId="61C40303" w14:textId="77777777" w:rsidR="009A5D1F" w:rsidRDefault="009A5D1F" w:rsidP="009A5D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Seeking legal advice</w:t>
            </w:r>
          </w:p>
          <w:p w14:paraId="5D44FCB0" w14:textId="3286F987" w:rsidR="00A46F8D" w:rsidRDefault="009A5D1F" w:rsidP="009A5D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Recording and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communicating outcomes</w:t>
            </w:r>
          </w:p>
        </w:tc>
      </w:tr>
      <w:tr w:rsidR="00A46F8D" w14:paraId="7FAB5A3C" w14:textId="77777777" w:rsidTr="00715F84">
        <w:trPr>
          <w:cantSplit/>
        </w:trPr>
        <w:tc>
          <w:tcPr>
            <w:tcW w:w="3827" w:type="dxa"/>
          </w:tcPr>
          <w:p w14:paraId="7983448A" w14:textId="25776EE6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Comprehensive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assessment of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neglect (including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 xml:space="preserve">risk </w:t>
            </w:r>
            <w:r>
              <w:rPr>
                <w:rFonts w:ascii="Verdana" w:hAnsi="Verdana"/>
              </w:rPr>
              <w:t>a</w:t>
            </w:r>
            <w:r w:rsidRPr="009A5D1F">
              <w:rPr>
                <w:rFonts w:ascii="Verdana" w:hAnsi="Verdana"/>
              </w:rPr>
              <w:t>ssessment)</w:t>
            </w:r>
          </w:p>
        </w:tc>
        <w:tc>
          <w:tcPr>
            <w:tcW w:w="5494" w:type="dxa"/>
          </w:tcPr>
          <w:p w14:paraId="3BE9493C" w14:textId="3A2D63D5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Process put in place following a multi-agency meeting and the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 xml:space="preserve">factors to take into account when assessing risk, </w:t>
            </w:r>
            <w:proofErr w:type="gramStart"/>
            <w:r w:rsidRPr="009A5D1F">
              <w:rPr>
                <w:rFonts w:ascii="Verdana" w:hAnsi="Verdana"/>
              </w:rPr>
              <w:t>including:</w:t>
            </w:r>
            <w:proofErr w:type="gramEnd"/>
            <w:r w:rsidRPr="009A5D1F">
              <w:rPr>
                <w:rFonts w:ascii="Verdana" w:hAnsi="Verdana"/>
              </w:rPr>
              <w:t xml:space="preserve"> how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to manage risks; ongoing monitoring arrangements and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contingency plans</w:t>
            </w:r>
            <w:r>
              <w:rPr>
                <w:rFonts w:ascii="Verdana" w:hAnsi="Verdana"/>
              </w:rPr>
              <w:t>.</w:t>
            </w:r>
          </w:p>
        </w:tc>
      </w:tr>
      <w:tr w:rsidR="00A46F8D" w14:paraId="49B45C5F" w14:textId="77777777" w:rsidTr="00715F84">
        <w:trPr>
          <w:cantSplit/>
        </w:trPr>
        <w:tc>
          <w:tcPr>
            <w:tcW w:w="3827" w:type="dxa"/>
          </w:tcPr>
          <w:p w14:paraId="6BB1AF06" w14:textId="042E01DD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Multi-agency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review meetings</w:t>
            </w:r>
          </w:p>
        </w:tc>
        <w:tc>
          <w:tcPr>
            <w:tcW w:w="5494" w:type="dxa"/>
          </w:tcPr>
          <w:p w14:paraId="1A94635B" w14:textId="319AC101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Process to follo</w:t>
            </w:r>
            <w:r>
              <w:rPr>
                <w:rFonts w:ascii="Verdana" w:hAnsi="Verdana"/>
              </w:rPr>
              <w:t>w if risk remains or is ongoing;</w:t>
            </w:r>
            <w:r w:rsidRPr="009A5D1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 w:rsidRPr="009A5D1F">
              <w:rPr>
                <w:rFonts w:ascii="Verdana" w:hAnsi="Verdana"/>
              </w:rPr>
              <w:t>nsuring new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objectiv</w:t>
            </w:r>
            <w:r>
              <w:rPr>
                <w:rFonts w:ascii="Verdana" w:hAnsi="Verdana"/>
              </w:rPr>
              <w:t>es, perspectives and approaches.</w:t>
            </w:r>
          </w:p>
        </w:tc>
      </w:tr>
      <w:tr w:rsidR="00A46F8D" w14:paraId="0436CF6D" w14:textId="77777777" w:rsidTr="00715F84">
        <w:trPr>
          <w:cantSplit/>
        </w:trPr>
        <w:tc>
          <w:tcPr>
            <w:tcW w:w="3827" w:type="dxa"/>
          </w:tcPr>
          <w:p w14:paraId="274878D6" w14:textId="7F244983" w:rsidR="00A46F8D" w:rsidRDefault="009A5D1F" w:rsidP="00A46F8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remedies</w:t>
            </w:r>
          </w:p>
        </w:tc>
        <w:tc>
          <w:tcPr>
            <w:tcW w:w="5494" w:type="dxa"/>
          </w:tcPr>
          <w:p w14:paraId="225078CB" w14:textId="52C01884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 xml:space="preserve">Legal remedies to consider in adult </w:t>
            </w:r>
            <w:r>
              <w:rPr>
                <w:rFonts w:ascii="Verdana" w:hAnsi="Verdana"/>
              </w:rPr>
              <w:t>s</w:t>
            </w:r>
            <w:r w:rsidRPr="009A5D1F">
              <w:rPr>
                <w:rFonts w:ascii="Verdana" w:hAnsi="Verdana"/>
              </w:rPr>
              <w:t>afeguarding cases.</w:t>
            </w:r>
          </w:p>
        </w:tc>
      </w:tr>
      <w:tr w:rsidR="00A46F8D" w14:paraId="03A78936" w14:textId="77777777" w:rsidTr="00715F84">
        <w:trPr>
          <w:cantSplit/>
        </w:trPr>
        <w:tc>
          <w:tcPr>
            <w:tcW w:w="3827" w:type="dxa"/>
          </w:tcPr>
          <w:p w14:paraId="45C04D9B" w14:textId="7B1E9EAF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>Self-neglect: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checklist for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practitioners</w:t>
            </w:r>
          </w:p>
        </w:tc>
        <w:tc>
          <w:tcPr>
            <w:tcW w:w="5494" w:type="dxa"/>
          </w:tcPr>
          <w:p w14:paraId="7D6E184F" w14:textId="07C3B7A5" w:rsidR="00A46F8D" w:rsidRDefault="009A5D1F" w:rsidP="009A5D1F">
            <w:pPr>
              <w:spacing w:after="0" w:line="240" w:lineRule="auto"/>
              <w:rPr>
                <w:rFonts w:ascii="Verdana" w:hAnsi="Verdana"/>
              </w:rPr>
            </w:pPr>
            <w:r w:rsidRPr="009A5D1F">
              <w:rPr>
                <w:rFonts w:ascii="Verdana" w:hAnsi="Verdana"/>
              </w:rPr>
              <w:t xml:space="preserve">A checklist to consider key stages of </w:t>
            </w:r>
            <w:r>
              <w:rPr>
                <w:rFonts w:ascii="Verdana" w:hAnsi="Verdana"/>
              </w:rPr>
              <w:t>i</w:t>
            </w:r>
            <w:r w:rsidRPr="009A5D1F">
              <w:rPr>
                <w:rFonts w:ascii="Verdana" w:hAnsi="Verdana"/>
              </w:rPr>
              <w:t>ntervention. Can be used</w:t>
            </w:r>
            <w:r>
              <w:rPr>
                <w:rFonts w:ascii="Verdana" w:hAnsi="Verdana"/>
              </w:rPr>
              <w:t xml:space="preserve"> </w:t>
            </w:r>
            <w:r w:rsidRPr="009A5D1F">
              <w:rPr>
                <w:rFonts w:ascii="Verdana" w:hAnsi="Verdana"/>
              </w:rPr>
              <w:t>at planning or closing stages, or during supervision.</w:t>
            </w:r>
          </w:p>
        </w:tc>
      </w:tr>
    </w:tbl>
    <w:p w14:paraId="47C49440" w14:textId="77777777" w:rsidR="00A46F8D" w:rsidRPr="00A46F8D" w:rsidRDefault="00A46F8D" w:rsidP="00A46F8D">
      <w:pPr>
        <w:spacing w:after="0" w:line="240" w:lineRule="auto"/>
        <w:rPr>
          <w:rFonts w:ascii="Verdana" w:hAnsi="Verdana"/>
        </w:rPr>
      </w:pPr>
    </w:p>
    <w:p w14:paraId="28813D40" w14:textId="77777777" w:rsidR="00B84A3B" w:rsidRDefault="00B84A3B" w:rsidP="00B84A3B">
      <w:pPr>
        <w:spacing w:after="0" w:line="240" w:lineRule="auto"/>
        <w:ind w:left="-11"/>
        <w:rPr>
          <w:rFonts w:ascii="Verdana" w:hAnsi="Verdana"/>
        </w:rPr>
      </w:pPr>
    </w:p>
    <w:p w14:paraId="011786B0" w14:textId="06E5AA8A" w:rsidR="00B84A3B" w:rsidRDefault="008C2CE8" w:rsidP="008C2CE8">
      <w:pPr>
        <w:pStyle w:val="Heading2"/>
      </w:pPr>
      <w:bookmarkStart w:id="4" w:name="_Toc40260446"/>
      <w:r>
        <w:t>Overview of the self-neglect process in West Sussex</w:t>
      </w:r>
      <w:bookmarkEnd w:id="4"/>
    </w:p>
    <w:p w14:paraId="46060D9B" w14:textId="25C4BCD4" w:rsidR="00E436C1" w:rsidRPr="00E436C1" w:rsidRDefault="00E436C1" w:rsidP="00E436C1">
      <w:pPr>
        <w:spacing w:after="0" w:line="240" w:lineRule="auto"/>
        <w:rPr>
          <w:rFonts w:ascii="Verdana" w:hAnsi="Verdana"/>
        </w:rPr>
      </w:pPr>
    </w:p>
    <w:p w14:paraId="19FC8485" w14:textId="1B9F3014" w:rsidR="00E436C1" w:rsidRPr="00663549" w:rsidRDefault="00E436C1" w:rsidP="003B6514">
      <w:pPr>
        <w:pStyle w:val="Heading3"/>
        <w:numPr>
          <w:ilvl w:val="1"/>
          <w:numId w:val="1"/>
        </w:numPr>
        <w:ind w:left="709" w:hanging="709"/>
      </w:pPr>
      <w:r w:rsidRPr="00663549">
        <w:t>Phase 1: Self-neglecting individual identified by an agency/service</w:t>
      </w:r>
    </w:p>
    <w:p w14:paraId="27ED1502" w14:textId="77777777" w:rsidR="00EF4BD5" w:rsidRDefault="00EF4BD5" w:rsidP="00663549">
      <w:pPr>
        <w:spacing w:after="0" w:line="240" w:lineRule="auto"/>
        <w:ind w:left="709"/>
        <w:rPr>
          <w:rFonts w:ascii="Verdana" w:hAnsi="Verdana"/>
        </w:rPr>
      </w:pPr>
      <w:r w:rsidRPr="00663549">
        <w:rPr>
          <w:rFonts w:ascii="Verdana" w:hAnsi="Verdana"/>
        </w:rPr>
        <w:t xml:space="preserve">The identifying agency: </w:t>
      </w:r>
    </w:p>
    <w:p w14:paraId="7CF9E11F" w14:textId="77777777" w:rsidR="00741963" w:rsidRPr="00663549" w:rsidRDefault="00741963" w:rsidP="00663549">
      <w:pPr>
        <w:spacing w:after="0" w:line="240" w:lineRule="auto"/>
        <w:ind w:left="709"/>
        <w:rPr>
          <w:rFonts w:ascii="Verdana" w:hAnsi="Verdana"/>
        </w:rPr>
      </w:pPr>
    </w:p>
    <w:p w14:paraId="70FC9B65" w14:textId="4D4BBC40" w:rsidR="00EF4BD5" w:rsidRPr="00663549" w:rsidRDefault="00EF4BD5" w:rsidP="0066354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663549">
        <w:rPr>
          <w:rFonts w:ascii="Verdana" w:hAnsi="Verdana"/>
        </w:rPr>
        <w:t>Considers whether any immediate actions are required – for example to contact emergency services or any other actions to minimise risk to the individual or others, and;</w:t>
      </w:r>
    </w:p>
    <w:p w14:paraId="7A5524B4" w14:textId="7294BFCA" w:rsidR="00EF4BD5" w:rsidRPr="00663549" w:rsidRDefault="00EF4BD5" w:rsidP="0066354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663549">
        <w:rPr>
          <w:rFonts w:ascii="Verdana" w:hAnsi="Verdana"/>
        </w:rPr>
        <w:t>Considers the need to contact Adult Social Care to raise a safeguarding concern (consider the 3 key tests under Section 42 of the Care Act) or to request a social care assessment, and/or;</w:t>
      </w:r>
    </w:p>
    <w:p w14:paraId="315698B1" w14:textId="4F8E946E" w:rsidR="00E436C1" w:rsidRPr="00663549" w:rsidRDefault="00EF4BD5" w:rsidP="0066354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663549">
        <w:rPr>
          <w:rFonts w:ascii="Verdana" w:hAnsi="Verdana"/>
        </w:rPr>
        <w:t>Consider whether to convene a multi-agency meeting.</w:t>
      </w:r>
    </w:p>
    <w:p w14:paraId="5D9CED9B" w14:textId="62D38EEC" w:rsidR="0041055D" w:rsidRPr="00663549" w:rsidRDefault="0041055D" w:rsidP="00663549">
      <w:pPr>
        <w:spacing w:after="0" w:line="240" w:lineRule="auto"/>
        <w:rPr>
          <w:rFonts w:ascii="Verdana" w:hAnsi="Verdana"/>
        </w:rPr>
      </w:pPr>
    </w:p>
    <w:p w14:paraId="724F2F39" w14:textId="1907E804" w:rsidR="0041055D" w:rsidRPr="00663549" w:rsidRDefault="0041055D" w:rsidP="003B6514">
      <w:pPr>
        <w:pStyle w:val="Heading3"/>
        <w:numPr>
          <w:ilvl w:val="1"/>
          <w:numId w:val="1"/>
        </w:numPr>
        <w:ind w:left="709" w:hanging="709"/>
      </w:pPr>
      <w:r w:rsidRPr="00663549">
        <w:t>Phase 2: Identify lead agency</w:t>
      </w:r>
    </w:p>
    <w:p w14:paraId="1489E8B4" w14:textId="10423ECD" w:rsidR="004D6C2E" w:rsidRDefault="004D6C2E" w:rsidP="00663549">
      <w:pPr>
        <w:spacing w:after="0" w:line="240" w:lineRule="auto"/>
        <w:ind w:left="709"/>
        <w:rPr>
          <w:rFonts w:ascii="Verdana" w:hAnsi="Verdana"/>
        </w:rPr>
      </w:pPr>
      <w:r w:rsidRPr="00663549">
        <w:rPr>
          <w:rFonts w:ascii="Verdana" w:hAnsi="Verdana"/>
        </w:rPr>
        <w:t>The Local Authority will be the lead agency if a safeguarding enquiry under section 42 of the Care Act is undertaken (but the local authority may cause another agency wh</w:t>
      </w:r>
      <w:r w:rsidR="00E5100E" w:rsidRPr="00663549">
        <w:rPr>
          <w:rFonts w:ascii="Verdana" w:hAnsi="Verdana"/>
        </w:rPr>
        <w:t>ich</w:t>
      </w:r>
      <w:r w:rsidRPr="00663549">
        <w:rPr>
          <w:rFonts w:ascii="Verdana" w:hAnsi="Verdana"/>
        </w:rPr>
        <w:t xml:space="preserve"> is best placed to lead this enquiry). In other cases, the lead agency will be the agency best placed to co-ordinate the process at this point. This could be because</w:t>
      </w:r>
      <w:r w:rsidR="00153AC9">
        <w:rPr>
          <w:rFonts w:ascii="Verdana" w:hAnsi="Verdana"/>
        </w:rPr>
        <w:t xml:space="preserve"> the</w:t>
      </w:r>
      <w:r w:rsidRPr="00663549">
        <w:rPr>
          <w:rFonts w:ascii="Verdana" w:hAnsi="Verdana"/>
        </w:rPr>
        <w:t>:</w:t>
      </w:r>
    </w:p>
    <w:p w14:paraId="04D60DF3" w14:textId="77777777" w:rsidR="00741963" w:rsidRPr="00663549" w:rsidRDefault="00741963" w:rsidP="00663549">
      <w:pPr>
        <w:spacing w:after="0" w:line="240" w:lineRule="auto"/>
        <w:ind w:left="709"/>
        <w:rPr>
          <w:rFonts w:ascii="Verdana" w:hAnsi="Verdana"/>
        </w:rPr>
      </w:pPr>
    </w:p>
    <w:p w14:paraId="644D7A52" w14:textId="23D393E7" w:rsidR="004D6C2E" w:rsidRPr="00663549" w:rsidRDefault="00153AC9" w:rsidP="00663549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ascii="Verdana" w:hAnsi="Verdana"/>
        </w:rPr>
      </w:pPr>
      <w:r>
        <w:rPr>
          <w:rFonts w:ascii="Verdana" w:hAnsi="Verdana"/>
        </w:rPr>
        <w:t>A</w:t>
      </w:r>
      <w:r w:rsidR="004D6C2E" w:rsidRPr="00663549">
        <w:rPr>
          <w:rFonts w:ascii="Verdana" w:hAnsi="Verdana"/>
        </w:rPr>
        <w:t>gency is already involved with the adult;</w:t>
      </w:r>
    </w:p>
    <w:p w14:paraId="0B5A7C26" w14:textId="3B3C76FA" w:rsidR="004D6C2E" w:rsidRPr="00663549" w:rsidRDefault="00153AC9" w:rsidP="00663549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ascii="Verdana" w:hAnsi="Verdana"/>
        </w:rPr>
      </w:pPr>
      <w:r>
        <w:rPr>
          <w:rFonts w:ascii="Verdana" w:hAnsi="Verdana"/>
        </w:rPr>
        <w:t>A</w:t>
      </w:r>
      <w:r w:rsidR="004D6C2E" w:rsidRPr="00663549">
        <w:rPr>
          <w:rFonts w:ascii="Verdana" w:hAnsi="Verdana"/>
        </w:rPr>
        <w:t>gency has a duty of care towards them because of their needs;</w:t>
      </w:r>
    </w:p>
    <w:p w14:paraId="295987E9" w14:textId="2D6633D3" w:rsidR="004D6C2E" w:rsidRPr="00663549" w:rsidRDefault="00153AC9" w:rsidP="00663549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ascii="Verdana" w:hAnsi="Verdana"/>
        </w:rPr>
      </w:pPr>
      <w:r>
        <w:rPr>
          <w:rFonts w:ascii="Verdana" w:hAnsi="Verdana"/>
        </w:rPr>
        <w:t>A</w:t>
      </w:r>
      <w:r w:rsidR="004D6C2E" w:rsidRPr="00663549">
        <w:rPr>
          <w:rFonts w:ascii="Verdana" w:hAnsi="Verdana"/>
        </w:rPr>
        <w:t>gency holds significant information relating to that adult;</w:t>
      </w:r>
    </w:p>
    <w:p w14:paraId="59799162" w14:textId="5B18FCCF" w:rsidR="004D6C2E" w:rsidRPr="00663549" w:rsidRDefault="00153AC9" w:rsidP="00663549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4D6C2E" w:rsidRPr="00663549">
        <w:rPr>
          <w:rFonts w:ascii="Verdana" w:hAnsi="Verdana"/>
        </w:rPr>
        <w:t>ndividual has shown a likelihood to engage with them best in the past, and</w:t>
      </w:r>
      <w:r w:rsidR="007E0250">
        <w:rPr>
          <w:rFonts w:ascii="Verdana" w:hAnsi="Verdana"/>
        </w:rPr>
        <w:t xml:space="preserve"> </w:t>
      </w:r>
      <w:r w:rsidR="004D6C2E" w:rsidRPr="00663549">
        <w:rPr>
          <w:rFonts w:ascii="Verdana" w:hAnsi="Verdana"/>
        </w:rPr>
        <w:t>/or;</w:t>
      </w:r>
    </w:p>
    <w:p w14:paraId="1A901D67" w14:textId="70FB8984" w:rsidR="00E436C1" w:rsidRPr="00663549" w:rsidRDefault="00153AC9" w:rsidP="00663549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ascii="Verdana" w:hAnsi="Verdana"/>
        </w:rPr>
      </w:pPr>
      <w:r>
        <w:rPr>
          <w:rFonts w:ascii="Verdana" w:hAnsi="Verdana"/>
        </w:rPr>
        <w:t>I</w:t>
      </w:r>
      <w:r w:rsidR="004D6C2E" w:rsidRPr="00663549">
        <w:rPr>
          <w:rFonts w:ascii="Verdana" w:hAnsi="Verdana"/>
        </w:rPr>
        <w:t>ndividual’s main needs appear to relate to the service provided by that</w:t>
      </w:r>
      <w:r w:rsidR="00E5100E" w:rsidRPr="00663549">
        <w:rPr>
          <w:rFonts w:ascii="Verdana" w:hAnsi="Verdana"/>
        </w:rPr>
        <w:t xml:space="preserve"> </w:t>
      </w:r>
      <w:r w:rsidR="004D6C2E" w:rsidRPr="00663549">
        <w:rPr>
          <w:rFonts w:ascii="Verdana" w:hAnsi="Verdana"/>
        </w:rPr>
        <w:t>agency.</w:t>
      </w:r>
    </w:p>
    <w:p w14:paraId="2D671469" w14:textId="4A712EF8" w:rsidR="00F23CA4" w:rsidRPr="00663549" w:rsidRDefault="00F23CA4" w:rsidP="00663549">
      <w:pPr>
        <w:spacing w:after="0" w:line="240" w:lineRule="auto"/>
        <w:rPr>
          <w:rFonts w:ascii="Verdana" w:hAnsi="Verdana"/>
        </w:rPr>
      </w:pPr>
    </w:p>
    <w:p w14:paraId="79158A8D" w14:textId="0E0E7EF2" w:rsidR="00F23CA4" w:rsidRPr="00663549" w:rsidRDefault="00F23CA4" w:rsidP="003B6514">
      <w:pPr>
        <w:pStyle w:val="Heading3"/>
        <w:numPr>
          <w:ilvl w:val="1"/>
          <w:numId w:val="1"/>
        </w:numPr>
        <w:ind w:left="709" w:hanging="709"/>
      </w:pPr>
      <w:r w:rsidRPr="00663549">
        <w:t>Phase 3: Lead agency co-ordinates information gathering</w:t>
      </w:r>
    </w:p>
    <w:p w14:paraId="6A1094A9" w14:textId="5FE7CBCB" w:rsidR="00663549" w:rsidRDefault="00663549" w:rsidP="00663549">
      <w:pPr>
        <w:spacing w:after="0" w:line="240" w:lineRule="auto"/>
        <w:ind w:left="709"/>
        <w:rPr>
          <w:rFonts w:ascii="Verdana" w:hAnsi="Verdana"/>
        </w:rPr>
      </w:pPr>
      <w:r w:rsidRPr="00663549">
        <w:rPr>
          <w:rFonts w:ascii="Verdana" w:hAnsi="Verdana"/>
        </w:rPr>
        <w:t>Including consideration of the most appropriate actions to address the concerns raised, and initial considerations about the adult’s mental capacity.</w:t>
      </w:r>
    </w:p>
    <w:p w14:paraId="747E73E7" w14:textId="59E71633" w:rsidR="00A73693" w:rsidRDefault="00A73693" w:rsidP="00663549">
      <w:pPr>
        <w:spacing w:after="0" w:line="240" w:lineRule="auto"/>
        <w:ind w:left="709"/>
        <w:rPr>
          <w:rFonts w:ascii="Verdana" w:hAnsi="Verdana"/>
        </w:rPr>
      </w:pPr>
    </w:p>
    <w:p w14:paraId="3BAB27DA" w14:textId="2A97A209" w:rsidR="00A73693" w:rsidRDefault="00A73693" w:rsidP="003B6514">
      <w:pPr>
        <w:pStyle w:val="Heading3"/>
        <w:numPr>
          <w:ilvl w:val="1"/>
          <w:numId w:val="1"/>
        </w:numPr>
        <w:ind w:left="709" w:hanging="709"/>
      </w:pPr>
      <w:r>
        <w:t>Phase 4: Multi-agency meeting</w:t>
      </w:r>
    </w:p>
    <w:p w14:paraId="6AD3960B" w14:textId="77777777" w:rsidR="00A73693" w:rsidRDefault="00A73693" w:rsidP="00741963">
      <w:pPr>
        <w:spacing w:after="0" w:line="240" w:lineRule="auto"/>
        <w:ind w:left="709"/>
        <w:rPr>
          <w:rFonts w:ascii="Verdana" w:hAnsi="Verdana"/>
        </w:rPr>
      </w:pPr>
      <w:r w:rsidRPr="00741963">
        <w:rPr>
          <w:rFonts w:ascii="Verdana" w:hAnsi="Verdana"/>
        </w:rPr>
        <w:t>The lead agency convenes a meeting under the self-neglect procedures to:</w:t>
      </w:r>
    </w:p>
    <w:p w14:paraId="47E83C4B" w14:textId="77777777" w:rsidR="00741963" w:rsidRPr="00741963" w:rsidRDefault="00741963" w:rsidP="00741963">
      <w:pPr>
        <w:spacing w:after="0" w:line="240" w:lineRule="auto"/>
        <w:ind w:left="709"/>
        <w:rPr>
          <w:rFonts w:ascii="Verdana" w:hAnsi="Verdana"/>
        </w:rPr>
      </w:pPr>
    </w:p>
    <w:p w14:paraId="52301403" w14:textId="4751AA30" w:rsidR="00A73693" w:rsidRPr="00741963" w:rsidRDefault="00A73693" w:rsidP="0074196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741963">
        <w:rPr>
          <w:rFonts w:ascii="Verdana" w:hAnsi="Verdana"/>
        </w:rPr>
        <w:t>Consider risks and issues of mental capacity</w:t>
      </w:r>
      <w:r w:rsidR="00741963" w:rsidRPr="00741963">
        <w:rPr>
          <w:rFonts w:ascii="Verdana" w:hAnsi="Verdana"/>
        </w:rPr>
        <w:t>;</w:t>
      </w:r>
    </w:p>
    <w:p w14:paraId="197CA636" w14:textId="22FAC9D5" w:rsidR="00A73693" w:rsidRPr="00741963" w:rsidRDefault="00A73693" w:rsidP="0074196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741963">
        <w:rPr>
          <w:rFonts w:ascii="Verdana" w:hAnsi="Verdana"/>
        </w:rPr>
        <w:t>Share information between agencies</w:t>
      </w:r>
      <w:r w:rsidR="00741963" w:rsidRPr="00741963">
        <w:rPr>
          <w:rFonts w:ascii="Verdana" w:hAnsi="Verdana"/>
        </w:rPr>
        <w:t>;</w:t>
      </w:r>
    </w:p>
    <w:p w14:paraId="5E012767" w14:textId="0A1DB46B" w:rsidR="00A73693" w:rsidRPr="00741963" w:rsidRDefault="00A73693" w:rsidP="0074196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741963">
        <w:rPr>
          <w:rFonts w:ascii="Verdana" w:hAnsi="Verdana"/>
        </w:rPr>
        <w:t>Devise a shared action plan</w:t>
      </w:r>
      <w:r w:rsidR="00741963" w:rsidRPr="00741963">
        <w:rPr>
          <w:rFonts w:ascii="Verdana" w:hAnsi="Verdana"/>
        </w:rPr>
        <w:t>.</w:t>
      </w:r>
    </w:p>
    <w:p w14:paraId="309F1DA7" w14:textId="77777777" w:rsidR="00741963" w:rsidRDefault="00741963" w:rsidP="00741963">
      <w:pPr>
        <w:spacing w:after="0" w:line="240" w:lineRule="auto"/>
        <w:ind w:left="709"/>
        <w:rPr>
          <w:rFonts w:ascii="Verdana" w:hAnsi="Verdana"/>
        </w:rPr>
      </w:pPr>
    </w:p>
    <w:p w14:paraId="16300E3C" w14:textId="5B26C3B0" w:rsidR="00A73693" w:rsidRDefault="00A73693" w:rsidP="00741963">
      <w:pPr>
        <w:spacing w:after="0" w:line="240" w:lineRule="auto"/>
        <w:ind w:left="709"/>
        <w:rPr>
          <w:rFonts w:ascii="Verdana" w:hAnsi="Verdana"/>
        </w:rPr>
      </w:pPr>
      <w:r w:rsidRPr="00741963">
        <w:rPr>
          <w:rFonts w:ascii="Verdana" w:hAnsi="Verdana"/>
        </w:rPr>
        <w:t xml:space="preserve">The lead agency will </w:t>
      </w:r>
      <w:proofErr w:type="gramStart"/>
      <w:r w:rsidRPr="00741963">
        <w:rPr>
          <w:rFonts w:ascii="Verdana" w:hAnsi="Verdana"/>
        </w:rPr>
        <w:t>make arrangements</w:t>
      </w:r>
      <w:proofErr w:type="gramEnd"/>
      <w:r w:rsidRPr="00741963">
        <w:rPr>
          <w:rFonts w:ascii="Verdana" w:hAnsi="Verdana"/>
        </w:rPr>
        <w:t xml:space="preserve"> to involve the adult concerned as much as</w:t>
      </w:r>
      <w:r w:rsidR="00741963">
        <w:rPr>
          <w:rFonts w:ascii="Verdana" w:hAnsi="Verdana"/>
        </w:rPr>
        <w:t xml:space="preserve"> </w:t>
      </w:r>
      <w:r w:rsidRPr="00741963">
        <w:rPr>
          <w:rFonts w:ascii="Verdana" w:hAnsi="Verdana"/>
        </w:rPr>
        <w:t>possible and/or their representative/advocate.</w:t>
      </w:r>
    </w:p>
    <w:p w14:paraId="7E8B49FB" w14:textId="758E56BB" w:rsidR="009B103C" w:rsidRDefault="009B103C" w:rsidP="00741963">
      <w:pPr>
        <w:spacing w:after="0" w:line="240" w:lineRule="auto"/>
        <w:ind w:left="709"/>
        <w:rPr>
          <w:rFonts w:ascii="Verdana" w:hAnsi="Verdana"/>
        </w:rPr>
      </w:pPr>
    </w:p>
    <w:p w14:paraId="2EA11AD0" w14:textId="6A224DC6" w:rsidR="009B103C" w:rsidRDefault="009B103C" w:rsidP="003B6514">
      <w:pPr>
        <w:pStyle w:val="Heading3"/>
        <w:numPr>
          <w:ilvl w:val="1"/>
          <w:numId w:val="1"/>
        </w:numPr>
        <w:ind w:left="709" w:hanging="709"/>
      </w:pPr>
      <w:r>
        <w:t>Phase 5: Comprehensive assessment of risk</w:t>
      </w:r>
    </w:p>
    <w:p w14:paraId="02574F88" w14:textId="47F56365" w:rsidR="00175308" w:rsidRDefault="00175308" w:rsidP="00175308">
      <w:pPr>
        <w:spacing w:after="0" w:line="240" w:lineRule="auto"/>
        <w:ind w:left="709"/>
        <w:rPr>
          <w:rFonts w:ascii="Verdana" w:hAnsi="Verdana"/>
        </w:rPr>
      </w:pPr>
      <w:r w:rsidRPr="00175308">
        <w:rPr>
          <w:rFonts w:ascii="Verdana" w:hAnsi="Verdana"/>
        </w:rPr>
        <w:t>Either</w:t>
      </w:r>
      <w:r>
        <w:rPr>
          <w:rFonts w:ascii="Verdana" w:hAnsi="Verdana"/>
        </w:rPr>
        <w:t>,</w:t>
      </w:r>
      <w:r w:rsidRPr="00175308">
        <w:rPr>
          <w:rFonts w:ascii="Verdana" w:hAnsi="Verdana"/>
        </w:rPr>
        <w:t xml:space="preserve"> outcomes are </w:t>
      </w:r>
      <w:r w:rsidR="006928E3" w:rsidRPr="00175308">
        <w:rPr>
          <w:rFonts w:ascii="Verdana" w:hAnsi="Verdana"/>
        </w:rPr>
        <w:t>determined,</w:t>
      </w:r>
      <w:r w:rsidRPr="00175308">
        <w:rPr>
          <w:rFonts w:ascii="Verdana" w:hAnsi="Verdana"/>
        </w:rPr>
        <w:t xml:space="preserve"> and risk addressed, resulting in:</w:t>
      </w:r>
    </w:p>
    <w:p w14:paraId="443A7B42" w14:textId="77777777" w:rsidR="00175308" w:rsidRPr="00175308" w:rsidRDefault="00175308" w:rsidP="00175308">
      <w:pPr>
        <w:spacing w:after="0" w:line="240" w:lineRule="auto"/>
        <w:ind w:left="709"/>
        <w:rPr>
          <w:rFonts w:ascii="Verdana" w:hAnsi="Verdana"/>
        </w:rPr>
      </w:pPr>
    </w:p>
    <w:p w14:paraId="69E7E26D" w14:textId="680B887C" w:rsidR="00175308" w:rsidRPr="00175308" w:rsidRDefault="00153AC9" w:rsidP="00175308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175308" w:rsidRPr="00175308">
        <w:rPr>
          <w:rFonts w:ascii="Verdana" w:hAnsi="Verdana"/>
        </w:rPr>
        <w:t xml:space="preserve">upport accepted </w:t>
      </w:r>
    </w:p>
    <w:p w14:paraId="40141462" w14:textId="191876AA" w:rsidR="00175308" w:rsidRDefault="00153AC9" w:rsidP="00175308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</w:t>
      </w:r>
      <w:r w:rsidR="00175308" w:rsidRPr="00175308">
        <w:rPr>
          <w:rFonts w:ascii="Verdana" w:hAnsi="Verdana"/>
        </w:rPr>
        <w:t>ngoing monitoring</w:t>
      </w:r>
    </w:p>
    <w:p w14:paraId="093E26A7" w14:textId="77777777" w:rsidR="00175308" w:rsidRDefault="00175308" w:rsidP="00175308">
      <w:pPr>
        <w:spacing w:after="0" w:line="240" w:lineRule="auto"/>
        <w:rPr>
          <w:rFonts w:ascii="Verdana" w:hAnsi="Verdana"/>
        </w:rPr>
      </w:pPr>
    </w:p>
    <w:p w14:paraId="75168A5C" w14:textId="70ED982D" w:rsidR="00175308" w:rsidRDefault="00175308" w:rsidP="00175308">
      <w:pPr>
        <w:spacing w:after="0" w:line="240" w:lineRule="auto"/>
        <w:ind w:left="709"/>
        <w:rPr>
          <w:rFonts w:ascii="Verdana" w:hAnsi="Verdana"/>
        </w:rPr>
      </w:pPr>
      <w:r>
        <w:rPr>
          <w:rFonts w:ascii="Verdana" w:hAnsi="Verdana"/>
        </w:rPr>
        <w:t xml:space="preserve">Or, outcomes are </w:t>
      </w:r>
      <w:r w:rsidR="006928E3">
        <w:rPr>
          <w:rFonts w:ascii="Verdana" w:hAnsi="Verdana"/>
        </w:rPr>
        <w:t>determined,</w:t>
      </w:r>
      <w:r>
        <w:rPr>
          <w:rFonts w:ascii="Verdana" w:hAnsi="Verdana"/>
        </w:rPr>
        <w:t xml:space="preserve"> and risk remains, resulting in:</w:t>
      </w:r>
    </w:p>
    <w:p w14:paraId="688AE8A3" w14:textId="77777777" w:rsidR="00175308" w:rsidRDefault="00175308" w:rsidP="00175308">
      <w:pPr>
        <w:spacing w:after="0" w:line="240" w:lineRule="auto"/>
        <w:ind w:left="709"/>
        <w:rPr>
          <w:rFonts w:ascii="Verdana" w:hAnsi="Verdana"/>
        </w:rPr>
      </w:pPr>
    </w:p>
    <w:p w14:paraId="4AE673B9" w14:textId="3823FB80" w:rsidR="00175308" w:rsidRPr="00175308" w:rsidRDefault="00175308" w:rsidP="0017530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175308">
        <w:rPr>
          <w:rFonts w:ascii="Verdana" w:hAnsi="Verdana"/>
        </w:rPr>
        <w:t>Escalation (to risk panels if available/senior managers/legal services)/ongoing monitoring</w:t>
      </w:r>
    </w:p>
    <w:p w14:paraId="05F253C2" w14:textId="5FBCF0BD" w:rsidR="00175308" w:rsidRPr="00175308" w:rsidRDefault="00175308" w:rsidP="0017530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175308">
        <w:rPr>
          <w:rFonts w:ascii="Verdana" w:hAnsi="Verdana"/>
        </w:rPr>
        <w:t>Repeat multi-agency meetings</w:t>
      </w:r>
    </w:p>
    <w:p w14:paraId="5E876C4F" w14:textId="194BEC76" w:rsidR="00175308" w:rsidRPr="00175308" w:rsidRDefault="00175308" w:rsidP="0017530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175308">
        <w:rPr>
          <w:rFonts w:ascii="Verdana" w:hAnsi="Verdana"/>
        </w:rPr>
        <w:t>Safeguarding concern raised where required</w:t>
      </w:r>
    </w:p>
    <w:p w14:paraId="36C9A54D" w14:textId="77777777" w:rsidR="00175308" w:rsidRPr="00175308" w:rsidRDefault="00175308" w:rsidP="00175308">
      <w:pPr>
        <w:spacing w:after="0" w:line="240" w:lineRule="auto"/>
        <w:rPr>
          <w:rFonts w:ascii="Verdana" w:hAnsi="Verdana"/>
        </w:rPr>
      </w:pPr>
    </w:p>
    <w:sectPr w:rsidR="00175308" w:rsidRPr="00175308" w:rsidSect="002A7674">
      <w:headerReference w:type="default" r:id="rId17"/>
      <w:footerReference w:type="default" r:id="rId18"/>
      <w:pgSz w:w="11906" w:h="16838"/>
      <w:pgMar w:top="43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3579" w14:textId="77777777" w:rsidR="00684855" w:rsidRDefault="00684855" w:rsidP="00684855">
      <w:pPr>
        <w:spacing w:after="0" w:line="240" w:lineRule="auto"/>
      </w:pPr>
      <w:r>
        <w:separator/>
      </w:r>
    </w:p>
    <w:p w14:paraId="1ECD23FF" w14:textId="77777777" w:rsidR="00E20152" w:rsidRDefault="00E20152"/>
  </w:endnote>
  <w:endnote w:type="continuationSeparator" w:id="0">
    <w:p w14:paraId="4E04FB3C" w14:textId="77777777" w:rsidR="00684855" w:rsidRDefault="00684855" w:rsidP="00684855">
      <w:pPr>
        <w:spacing w:after="0" w:line="240" w:lineRule="auto"/>
      </w:pPr>
      <w:r>
        <w:continuationSeparator/>
      </w:r>
    </w:p>
    <w:p w14:paraId="30271878" w14:textId="77777777" w:rsidR="00E20152" w:rsidRDefault="00E20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6D05" w14:textId="2C9E1333" w:rsidR="00684855" w:rsidRPr="00684855" w:rsidRDefault="00D867B1">
    <w:pPr>
      <w:pStyle w:val="Footer"/>
      <w:rPr>
        <w:rFonts w:ascii="Verdana" w:hAnsi="Verdana"/>
      </w:rPr>
    </w:pPr>
    <w:r>
      <w:rPr>
        <w:rFonts w:ascii="Verdana" w:hAnsi="Verdana"/>
      </w:rPr>
      <w:t>West Sussex Safeguarding Adults Board</w:t>
    </w:r>
  </w:p>
  <w:p w14:paraId="48574AC8" w14:textId="2C79BECF" w:rsidR="00684855" w:rsidRPr="00C13369" w:rsidRDefault="00D867B1">
    <w:pPr>
      <w:pStyle w:val="Footer"/>
      <w:rPr>
        <w:rFonts w:ascii="Verdana" w:hAnsi="Verdana"/>
        <w:color w:val="511263"/>
      </w:rPr>
    </w:pPr>
    <w:r>
      <w:rPr>
        <w:rFonts w:ascii="Verdana" w:hAnsi="Verdana"/>
        <w:color w:val="511263"/>
      </w:rPr>
      <w:t>Version 2</w:t>
    </w:r>
    <w:r w:rsidR="00AC5750">
      <w:rPr>
        <w:rFonts w:ascii="Verdana" w:hAnsi="Verdana"/>
        <w:color w:val="511263"/>
      </w:rPr>
      <w:t xml:space="preserve"> | </w:t>
    </w:r>
    <w:r>
      <w:rPr>
        <w:rFonts w:ascii="Verdana" w:hAnsi="Verdana"/>
        <w:color w:val="511263"/>
      </w:rPr>
      <w:t>June 2020</w:t>
    </w:r>
  </w:p>
  <w:p w14:paraId="57DCBF0F" w14:textId="08639488" w:rsidR="00684855" w:rsidRDefault="00AC5750" w:rsidP="00AC5750">
    <w:pPr>
      <w:pStyle w:val="Footer"/>
      <w:tabs>
        <w:tab w:val="clear" w:pos="4513"/>
        <w:tab w:val="clear" w:pos="9026"/>
        <w:tab w:val="left" w:pos="1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1D13" w14:textId="77777777" w:rsidR="00684855" w:rsidRDefault="00684855" w:rsidP="00684855">
      <w:pPr>
        <w:spacing w:after="0" w:line="240" w:lineRule="auto"/>
      </w:pPr>
      <w:r>
        <w:separator/>
      </w:r>
    </w:p>
    <w:p w14:paraId="46F92410" w14:textId="77777777" w:rsidR="00E20152" w:rsidRDefault="00E20152"/>
  </w:footnote>
  <w:footnote w:type="continuationSeparator" w:id="0">
    <w:p w14:paraId="3A77059B" w14:textId="77777777" w:rsidR="00684855" w:rsidRDefault="00684855" w:rsidP="00684855">
      <w:pPr>
        <w:spacing w:after="0" w:line="240" w:lineRule="auto"/>
      </w:pPr>
      <w:r>
        <w:continuationSeparator/>
      </w:r>
    </w:p>
    <w:p w14:paraId="031ED63E" w14:textId="77777777" w:rsidR="00E20152" w:rsidRDefault="00E20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A2CB" w14:textId="737CB71A" w:rsidR="00E20152" w:rsidRDefault="00D867B1" w:rsidP="004116FF">
    <w:pPr>
      <w:tabs>
        <w:tab w:val="left" w:pos="9923"/>
      </w:tabs>
      <w:spacing w:after="0" w:line="240" w:lineRule="auto"/>
      <w:jc w:val="right"/>
      <w:rPr>
        <w:rFonts w:ascii="Verdana" w:hAnsi="Verdana"/>
        <w:b/>
        <w:noProof/>
        <w:color w:val="511263"/>
      </w:rPr>
    </w:pPr>
    <w:r w:rsidRPr="00D867B1">
      <w:t xml:space="preserve"> </w:t>
    </w:r>
    <w:r w:rsidRPr="00D867B1">
      <w:rPr>
        <w:rFonts w:ascii="Verdana" w:hAnsi="Verdana"/>
        <w:b/>
        <w:color w:val="511263"/>
      </w:rPr>
      <w:t>Self-Neglect Briefing Note</w:t>
    </w:r>
    <w:r w:rsidR="00AE1FBA" w:rsidRPr="0055242F">
      <w:rPr>
        <w:rFonts w:ascii="Verdana" w:hAnsi="Verdana"/>
        <w:b/>
        <w:color w:val="511263"/>
      </w:rPr>
      <w:t xml:space="preserve"> | </w:t>
    </w:r>
    <w:r w:rsidR="00AE1FBA" w:rsidRPr="0055242F">
      <w:rPr>
        <w:rFonts w:ascii="Verdana" w:hAnsi="Verdana"/>
        <w:b/>
        <w:color w:val="511263"/>
      </w:rPr>
      <w:fldChar w:fldCharType="begin"/>
    </w:r>
    <w:r w:rsidR="00AE1FBA" w:rsidRPr="0055242F">
      <w:rPr>
        <w:rFonts w:ascii="Verdana" w:hAnsi="Verdana"/>
        <w:b/>
        <w:color w:val="511263"/>
      </w:rPr>
      <w:instrText xml:space="preserve"> PAGE   \* MERGEFORMAT </w:instrText>
    </w:r>
    <w:r w:rsidR="00AE1FBA" w:rsidRPr="0055242F">
      <w:rPr>
        <w:rFonts w:ascii="Verdana" w:hAnsi="Verdana"/>
        <w:b/>
        <w:color w:val="511263"/>
      </w:rPr>
      <w:fldChar w:fldCharType="separate"/>
    </w:r>
    <w:r w:rsidR="00F37498">
      <w:rPr>
        <w:rFonts w:ascii="Verdana" w:hAnsi="Verdana"/>
        <w:b/>
        <w:noProof/>
        <w:color w:val="511263"/>
      </w:rPr>
      <w:t>1</w:t>
    </w:r>
    <w:r w:rsidR="00AE1FBA" w:rsidRPr="0055242F">
      <w:rPr>
        <w:rFonts w:ascii="Verdana" w:hAnsi="Verdana"/>
        <w:b/>
        <w:noProof/>
        <w:color w:val="511263"/>
      </w:rPr>
      <w:fldChar w:fldCharType="end"/>
    </w:r>
  </w:p>
  <w:p w14:paraId="7F317B49" w14:textId="77777777" w:rsidR="004116FF" w:rsidRDefault="004116FF" w:rsidP="004116FF">
    <w:pPr>
      <w:tabs>
        <w:tab w:val="left" w:pos="9923"/>
      </w:tabs>
      <w:spacing w:after="0" w:line="240" w:lineRule="auto"/>
      <w:jc w:val="right"/>
      <w:rPr>
        <w:rFonts w:ascii="Verdana" w:hAnsi="Verdana"/>
        <w:b/>
        <w:noProof/>
        <w:color w:val="511263"/>
      </w:rPr>
    </w:pPr>
  </w:p>
  <w:p w14:paraId="520806E4" w14:textId="77777777" w:rsidR="00F34233" w:rsidRPr="00AE1FBA" w:rsidRDefault="00F34233" w:rsidP="004116FF">
    <w:pPr>
      <w:tabs>
        <w:tab w:val="left" w:pos="9923"/>
      </w:tabs>
      <w:spacing w:after="0" w:line="240" w:lineRule="auto"/>
      <w:jc w:val="righ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66"/>
    <w:multiLevelType w:val="multilevel"/>
    <w:tmpl w:val="480AF50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0BB795E"/>
    <w:multiLevelType w:val="hybridMultilevel"/>
    <w:tmpl w:val="97BEC80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7F39FB"/>
    <w:multiLevelType w:val="hybridMultilevel"/>
    <w:tmpl w:val="306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A60"/>
    <w:multiLevelType w:val="hybridMultilevel"/>
    <w:tmpl w:val="5D7AA3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802750"/>
    <w:multiLevelType w:val="hybridMultilevel"/>
    <w:tmpl w:val="C62044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3363EE"/>
    <w:multiLevelType w:val="hybridMultilevel"/>
    <w:tmpl w:val="EE1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7942"/>
    <w:multiLevelType w:val="hybridMultilevel"/>
    <w:tmpl w:val="471441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51250C"/>
    <w:multiLevelType w:val="hybridMultilevel"/>
    <w:tmpl w:val="CF4E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1"/>
    <w:rsid w:val="00001BC3"/>
    <w:rsid w:val="0002612A"/>
    <w:rsid w:val="00057097"/>
    <w:rsid w:val="000631F1"/>
    <w:rsid w:val="000C5D34"/>
    <w:rsid w:val="000E6EBB"/>
    <w:rsid w:val="000F6BA5"/>
    <w:rsid w:val="00137E05"/>
    <w:rsid w:val="00153AC9"/>
    <w:rsid w:val="00157708"/>
    <w:rsid w:val="00175308"/>
    <w:rsid w:val="001761BF"/>
    <w:rsid w:val="001857AB"/>
    <w:rsid w:val="001E2D48"/>
    <w:rsid w:val="001F3931"/>
    <w:rsid w:val="001F42C3"/>
    <w:rsid w:val="00284A4D"/>
    <w:rsid w:val="002A7674"/>
    <w:rsid w:val="002B4C70"/>
    <w:rsid w:val="002B5E42"/>
    <w:rsid w:val="002B63BB"/>
    <w:rsid w:val="002E2A41"/>
    <w:rsid w:val="00307354"/>
    <w:rsid w:val="00307DB9"/>
    <w:rsid w:val="003240CE"/>
    <w:rsid w:val="00367791"/>
    <w:rsid w:val="00384B1B"/>
    <w:rsid w:val="003B6514"/>
    <w:rsid w:val="003C1F55"/>
    <w:rsid w:val="0041055D"/>
    <w:rsid w:val="004116FF"/>
    <w:rsid w:val="0046128F"/>
    <w:rsid w:val="00494A5F"/>
    <w:rsid w:val="004C1D8B"/>
    <w:rsid w:val="004C2CAA"/>
    <w:rsid w:val="004C4EE6"/>
    <w:rsid w:val="004C646F"/>
    <w:rsid w:val="004D1E72"/>
    <w:rsid w:val="004D6C2E"/>
    <w:rsid w:val="00502A0E"/>
    <w:rsid w:val="00504BB4"/>
    <w:rsid w:val="005525FD"/>
    <w:rsid w:val="0055340A"/>
    <w:rsid w:val="00554AD2"/>
    <w:rsid w:val="005815E8"/>
    <w:rsid w:val="005834C6"/>
    <w:rsid w:val="00602B38"/>
    <w:rsid w:val="006174DD"/>
    <w:rsid w:val="0062672E"/>
    <w:rsid w:val="00627890"/>
    <w:rsid w:val="006406BC"/>
    <w:rsid w:val="00645898"/>
    <w:rsid w:val="00663549"/>
    <w:rsid w:val="00684855"/>
    <w:rsid w:val="006928E3"/>
    <w:rsid w:val="006A15F4"/>
    <w:rsid w:val="006B39C8"/>
    <w:rsid w:val="006B7139"/>
    <w:rsid w:val="006F4956"/>
    <w:rsid w:val="00715F84"/>
    <w:rsid w:val="00741963"/>
    <w:rsid w:val="007574AC"/>
    <w:rsid w:val="00776D0A"/>
    <w:rsid w:val="007775E4"/>
    <w:rsid w:val="00787226"/>
    <w:rsid w:val="007C3294"/>
    <w:rsid w:val="007C33EE"/>
    <w:rsid w:val="007E0250"/>
    <w:rsid w:val="008224B3"/>
    <w:rsid w:val="008C2CE8"/>
    <w:rsid w:val="008D4E80"/>
    <w:rsid w:val="008E1174"/>
    <w:rsid w:val="008E2E99"/>
    <w:rsid w:val="00916100"/>
    <w:rsid w:val="0091794C"/>
    <w:rsid w:val="00921771"/>
    <w:rsid w:val="00971055"/>
    <w:rsid w:val="009A30B3"/>
    <w:rsid w:val="009A5D1F"/>
    <w:rsid w:val="009B103C"/>
    <w:rsid w:val="009B6AFA"/>
    <w:rsid w:val="00A32577"/>
    <w:rsid w:val="00A46F8D"/>
    <w:rsid w:val="00A577F3"/>
    <w:rsid w:val="00A61EE1"/>
    <w:rsid w:val="00A73693"/>
    <w:rsid w:val="00AC5750"/>
    <w:rsid w:val="00AE1FBA"/>
    <w:rsid w:val="00B26458"/>
    <w:rsid w:val="00B72EFC"/>
    <w:rsid w:val="00B84A3B"/>
    <w:rsid w:val="00BE31E3"/>
    <w:rsid w:val="00C13369"/>
    <w:rsid w:val="00C51A09"/>
    <w:rsid w:val="00C706E4"/>
    <w:rsid w:val="00C96BD6"/>
    <w:rsid w:val="00CB5ECF"/>
    <w:rsid w:val="00CB6DEE"/>
    <w:rsid w:val="00CC1AE2"/>
    <w:rsid w:val="00CC25F4"/>
    <w:rsid w:val="00CD00F7"/>
    <w:rsid w:val="00CF2CF6"/>
    <w:rsid w:val="00D12AF6"/>
    <w:rsid w:val="00D1712D"/>
    <w:rsid w:val="00D33B36"/>
    <w:rsid w:val="00D41A22"/>
    <w:rsid w:val="00D43A28"/>
    <w:rsid w:val="00D57EF1"/>
    <w:rsid w:val="00D726C2"/>
    <w:rsid w:val="00D73757"/>
    <w:rsid w:val="00D867B1"/>
    <w:rsid w:val="00D90562"/>
    <w:rsid w:val="00DB2FA5"/>
    <w:rsid w:val="00DB43AD"/>
    <w:rsid w:val="00DC1ECA"/>
    <w:rsid w:val="00DD111C"/>
    <w:rsid w:val="00DE382A"/>
    <w:rsid w:val="00DF2CB3"/>
    <w:rsid w:val="00DF56F3"/>
    <w:rsid w:val="00E20152"/>
    <w:rsid w:val="00E436C1"/>
    <w:rsid w:val="00E5100E"/>
    <w:rsid w:val="00E66F87"/>
    <w:rsid w:val="00E73F2B"/>
    <w:rsid w:val="00E8672A"/>
    <w:rsid w:val="00EA3481"/>
    <w:rsid w:val="00ED3E2D"/>
    <w:rsid w:val="00EF4BD5"/>
    <w:rsid w:val="00F015C5"/>
    <w:rsid w:val="00F035E5"/>
    <w:rsid w:val="00F2128D"/>
    <w:rsid w:val="00F23CA4"/>
    <w:rsid w:val="00F34233"/>
    <w:rsid w:val="00F351B4"/>
    <w:rsid w:val="00F37498"/>
    <w:rsid w:val="00F43889"/>
    <w:rsid w:val="00FA150A"/>
    <w:rsid w:val="00FD27A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19626A"/>
  <w15:docId w15:val="{F1F9DAEF-9412-4B01-BE1C-84E9FAE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42"/>
    <w:pPr>
      <w:spacing w:after="0" w:line="240" w:lineRule="auto"/>
      <w:outlineLvl w:val="0"/>
    </w:pPr>
    <w:rPr>
      <w:rFonts w:ascii="Verdana" w:hAnsi="Verdana"/>
      <w:b/>
      <w:color w:val="511263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2A"/>
    <w:pPr>
      <w:numPr>
        <w:numId w:val="1"/>
      </w:numPr>
      <w:spacing w:after="0" w:line="240" w:lineRule="auto"/>
      <w:ind w:left="709" w:hanging="709"/>
      <w:outlineLvl w:val="1"/>
    </w:pPr>
    <w:rPr>
      <w:rFonts w:ascii="Verdana" w:hAnsi="Verdana"/>
      <w:b/>
      <w:color w:val="511263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6C1"/>
    <w:pPr>
      <w:spacing w:after="0" w:line="240" w:lineRule="auto"/>
      <w:ind w:left="709"/>
      <w:outlineLvl w:val="2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B5E42"/>
    <w:pPr>
      <w:spacing w:before="1560" w:after="0" w:line="240" w:lineRule="auto"/>
    </w:pPr>
    <w:rPr>
      <w:rFonts w:ascii="Verdana" w:hAnsi="Verdana"/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B5E42"/>
    <w:rPr>
      <w:rFonts w:ascii="Verdana" w:hAnsi="Verdana"/>
      <w:b/>
      <w:sz w:val="7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5E42"/>
    <w:rPr>
      <w:rFonts w:ascii="Verdana" w:hAnsi="Verdana"/>
      <w:b/>
      <w:color w:val="511263"/>
      <w:sz w:val="5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612A"/>
    <w:rPr>
      <w:rFonts w:ascii="Verdana" w:hAnsi="Verdana"/>
      <w:b/>
      <w:color w:val="511263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612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43A2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3A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3A2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3A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36C1"/>
    <w:rPr>
      <w:rFonts w:ascii="Verdana" w:hAnsi="Verdana"/>
      <w:b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15F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ussexsafeguardingadults.procedures.org.uk/pkoox/sussex-safeguarding-adults-procedures/sussex-multi-agency-procedures-to-support-adults-who-self-neglec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ussexsafeguardingadults.procedures.org.uk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6245F.A2648C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9A694526A091E1449556B3F59A31F747" ma:contentTypeVersion="0" ma:contentTypeDescription="" ma:contentTypeScope="" ma:versionID="4690e5941579d2d015f02367ad31bd4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9752ec0ba05008b07768ff12c6a7378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9aa66a-8a2c-41cb-8282-6630a051a8f0}" ma:internalName="TaxCatchAll" ma:showField="CatchAllData" ma:web="dd2fc189-ec10-498a-88cf-8f4b2616b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9aa66a-8a2c-41cb-8282-6630a051a8f0}" ma:internalName="TaxCatchAllLabel" ma:readOnly="true" ma:showField="CatchAllDataLabel" ma:web="dd2fc189-ec10-498a-88cf-8f4b2616b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cd3dbd11-cc7e-431b-b5e5-dcbbc727bf65;2020-07-28 10:12:43;FULLYMANUALCLASSIFIED;False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BCC04CE7-6D78-4091-A168-605FF2780C7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360ECBA-356D-411B-A8F8-3A5B7383E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6AF73-F816-404D-BC09-C6EC5B98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1327C-4132-49B6-BAB2-AC5BA055DED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64A1E4F-CAC0-427B-9F9E-EB87648778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896DF0-FA29-4ED6-A0F9-AF89E0C3DA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Self-Neglect Briefing Note</vt:lpstr>
    </vt:vector>
  </TitlesOfParts>
  <Company>West Sussex Safeguarding Adults Board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Self-Neglect Briefing Note</dc:title>
  <dc:subject>Sussex procedures to support adults who self-neglect</dc:subject>
  <dc:creator>West Sussex Safeguarding Adults Board</dc:creator>
  <cp:keywords>Self-neglect, Neglect, Policy, Briefing note</cp:keywords>
  <cp:lastModifiedBy>Joanne</cp:lastModifiedBy>
  <cp:revision>2</cp:revision>
  <dcterms:created xsi:type="dcterms:W3CDTF">2021-06-16T14:01:00Z</dcterms:created>
  <dcterms:modified xsi:type="dcterms:W3CDTF">2021-06-16T14:01:00Z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0x01010008FB9B3217D433459C91B5CF793C1D79009A694526A091E1449556B3F59A31F747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